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CBB8" w14:textId="4FDCB650" w:rsidR="00C714A6" w:rsidRDefault="13B6AE66" w:rsidP="078038CC">
      <w:pPr>
        <w:spacing w:after="0" w:line="240" w:lineRule="exact"/>
        <w:rPr>
          <w:rFonts w:ascii="Segoe UI" w:eastAsia="Segoe UI" w:hAnsi="Segoe UI" w:cs="Segoe UI"/>
          <w:b/>
          <w:bCs/>
          <w:color w:val="333333"/>
          <w:sz w:val="21"/>
          <w:szCs w:val="21"/>
        </w:rPr>
      </w:pPr>
      <w:r w:rsidRPr="078038CC">
        <w:rPr>
          <w:rFonts w:ascii="Segoe UI" w:eastAsia="Segoe UI" w:hAnsi="Segoe UI" w:cs="Segoe UI"/>
          <w:b/>
          <w:bCs/>
          <w:color w:val="333333"/>
          <w:sz w:val="21"/>
          <w:szCs w:val="21"/>
        </w:rPr>
        <w:t>ACPE Annual Notice</w:t>
      </w:r>
    </w:p>
    <w:p w14:paraId="54D9C0FB" w14:textId="076501DE" w:rsidR="00C714A6" w:rsidRDefault="00C714A6" w:rsidP="078038CC">
      <w:pPr>
        <w:spacing w:after="0" w:line="240" w:lineRule="exact"/>
        <w:rPr>
          <w:rFonts w:ascii="Segoe UI" w:eastAsia="Segoe UI" w:hAnsi="Segoe UI" w:cs="Segoe UI"/>
          <w:b/>
          <w:bCs/>
          <w:color w:val="333333"/>
          <w:sz w:val="21"/>
          <w:szCs w:val="21"/>
        </w:rPr>
      </w:pPr>
    </w:p>
    <w:p w14:paraId="25998B5C" w14:textId="4EBEA919" w:rsidR="00C714A6" w:rsidRDefault="00C714A6" w:rsidP="078038CC">
      <w:pPr>
        <w:spacing w:after="0" w:line="240" w:lineRule="exact"/>
        <w:rPr>
          <w:rFonts w:ascii="Segoe UI" w:eastAsia="Segoe UI" w:hAnsi="Segoe UI" w:cs="Segoe UI"/>
          <w:b/>
          <w:bCs/>
          <w:color w:val="333333"/>
          <w:sz w:val="21"/>
          <w:szCs w:val="21"/>
        </w:rPr>
      </w:pPr>
    </w:p>
    <w:p w14:paraId="1A9B15BA" w14:textId="6889B458" w:rsidR="00C714A6" w:rsidRDefault="00C714A6" w:rsidP="078038CC">
      <w:pPr>
        <w:spacing w:after="0" w:line="240" w:lineRule="exact"/>
        <w:rPr>
          <w:rFonts w:ascii="Segoe UI" w:eastAsia="Segoe UI" w:hAnsi="Segoe UI" w:cs="Segoe UI"/>
          <w:b/>
          <w:bCs/>
          <w:color w:val="333333"/>
          <w:sz w:val="21"/>
          <w:szCs w:val="21"/>
        </w:rPr>
      </w:pPr>
    </w:p>
    <w:p w14:paraId="4B86E8F0" w14:textId="7011029F" w:rsidR="00C714A6" w:rsidRDefault="13B6AE66" w:rsidP="078038CC">
      <w:pPr>
        <w:spacing w:after="0" w:line="240" w:lineRule="exact"/>
        <w:rPr>
          <w:rFonts w:ascii="Segoe UI" w:eastAsia="Segoe UI" w:hAnsi="Segoe UI" w:cs="Segoe UI"/>
          <w:color w:val="333333"/>
          <w:sz w:val="21"/>
          <w:szCs w:val="21"/>
        </w:rPr>
      </w:pPr>
      <w:r w:rsidRPr="078038CC">
        <w:rPr>
          <w:rFonts w:ascii="Segoe UI" w:eastAsia="Segoe UI" w:hAnsi="Segoe UI" w:cs="Segoe UI"/>
          <w:b/>
          <w:bCs/>
          <w:color w:val="333333"/>
          <w:sz w:val="21"/>
          <w:szCs w:val="21"/>
        </w:rPr>
        <w:t>Annual Notice</w:t>
      </w:r>
      <w:r w:rsidRPr="078038CC">
        <w:rPr>
          <w:rFonts w:ascii="Segoe UI" w:eastAsia="Segoe UI" w:hAnsi="Segoe UI" w:cs="Segoe UI"/>
          <w:color w:val="333333"/>
          <w:sz w:val="21"/>
          <w:szCs w:val="21"/>
        </w:rPr>
        <w:t xml:space="preserve"> </w:t>
      </w:r>
    </w:p>
    <w:p w14:paraId="138EB135" w14:textId="06920C36" w:rsidR="00C714A6" w:rsidRDefault="13B6AE66" w:rsidP="078038CC">
      <w:pPr>
        <w:spacing w:after="0" w:line="240" w:lineRule="exact"/>
        <w:rPr>
          <w:rFonts w:ascii="Segoe UI" w:eastAsia="Segoe UI" w:hAnsi="Segoe UI" w:cs="Segoe UI"/>
          <w:color w:val="333333"/>
          <w:sz w:val="21"/>
          <w:szCs w:val="21"/>
        </w:rPr>
      </w:pPr>
      <w:r w:rsidRPr="078038CC">
        <w:rPr>
          <w:rFonts w:ascii="Segoe UI" w:eastAsia="Segoe UI" w:hAnsi="Segoe UI" w:cs="Segoe UI"/>
          <w:color w:val="333333"/>
          <w:sz w:val="21"/>
          <w:szCs w:val="21"/>
        </w:rPr>
        <w:t xml:space="preserve"> </w:t>
      </w:r>
    </w:p>
    <w:p w14:paraId="787C4740" w14:textId="725691D4" w:rsidR="00C714A6" w:rsidRDefault="13B6AE66" w:rsidP="078038CC">
      <w:pPr>
        <w:pStyle w:val="ListParagraph"/>
        <w:numPr>
          <w:ilvl w:val="0"/>
          <w:numId w:val="1"/>
        </w:numPr>
        <w:spacing w:after="0" w:line="240" w:lineRule="exact"/>
        <w:rPr>
          <w:rFonts w:ascii="Calibri" w:eastAsia="Calibri" w:hAnsi="Calibri" w:cs="Calibri"/>
          <w:color w:val="333333"/>
          <w:sz w:val="21"/>
          <w:szCs w:val="21"/>
        </w:rPr>
      </w:pPr>
      <w:r w:rsidRPr="078038CC">
        <w:rPr>
          <w:rFonts w:ascii="Calibri" w:eastAsia="Calibri" w:hAnsi="Calibri" w:cs="Calibri"/>
          <w:b/>
          <w:bCs/>
          <w:color w:val="333333"/>
          <w:sz w:val="21"/>
          <w:szCs w:val="21"/>
        </w:rPr>
        <w:t>This ACPE CPE program guarantees to its students the right to inspect and review education records, to seek to amend them, and to specify control over release of record information.</w:t>
      </w:r>
      <w:r w:rsidRPr="078038CC">
        <w:rPr>
          <w:rFonts w:ascii="Calibri" w:eastAsia="Calibri" w:hAnsi="Calibri" w:cs="Calibri"/>
          <w:color w:val="333333"/>
          <w:sz w:val="21"/>
          <w:szCs w:val="21"/>
        </w:rPr>
        <w:t xml:space="preserve"> </w:t>
      </w:r>
    </w:p>
    <w:p w14:paraId="68113F81" w14:textId="33B7B7C2" w:rsidR="00C714A6" w:rsidRDefault="13B6AE66" w:rsidP="078038CC">
      <w:pPr>
        <w:pStyle w:val="ListParagraph"/>
        <w:numPr>
          <w:ilvl w:val="0"/>
          <w:numId w:val="1"/>
        </w:numPr>
        <w:spacing w:after="0" w:line="240" w:lineRule="exact"/>
        <w:rPr>
          <w:rFonts w:ascii="Calibri" w:eastAsia="Calibri" w:hAnsi="Calibri" w:cs="Calibri"/>
          <w:color w:val="333333"/>
          <w:sz w:val="21"/>
          <w:szCs w:val="21"/>
        </w:rPr>
      </w:pPr>
      <w:r w:rsidRPr="078038CC">
        <w:rPr>
          <w:rFonts w:ascii="Calibri" w:eastAsia="Calibri" w:hAnsi="Calibri" w:cs="Calibri"/>
          <w:color w:val="333333"/>
          <w:sz w:val="21"/>
          <w:szCs w:val="21"/>
        </w:rPr>
        <w:t xml:space="preserve">What constitutes directory information at that center and how to opt </w:t>
      </w:r>
      <w:proofErr w:type="gramStart"/>
      <w:r w:rsidRPr="078038CC">
        <w:rPr>
          <w:rFonts w:ascii="Calibri" w:eastAsia="Calibri" w:hAnsi="Calibri" w:cs="Calibri"/>
          <w:color w:val="333333"/>
          <w:sz w:val="21"/>
          <w:szCs w:val="21"/>
        </w:rPr>
        <w:t>out;</w:t>
      </w:r>
      <w:proofErr w:type="gramEnd"/>
      <w:r w:rsidRPr="078038CC">
        <w:rPr>
          <w:rFonts w:ascii="Calibri" w:eastAsia="Calibri" w:hAnsi="Calibri" w:cs="Calibri"/>
          <w:color w:val="333333"/>
          <w:sz w:val="21"/>
          <w:szCs w:val="21"/>
        </w:rPr>
        <w:t xml:space="preserve"> </w:t>
      </w:r>
    </w:p>
    <w:p w14:paraId="0553C325" w14:textId="295325E9" w:rsidR="00C714A6" w:rsidRDefault="13B6AE66" w:rsidP="078038CC">
      <w:pPr>
        <w:pStyle w:val="ListParagraph"/>
        <w:numPr>
          <w:ilvl w:val="0"/>
          <w:numId w:val="1"/>
        </w:numPr>
        <w:spacing w:after="0" w:line="240" w:lineRule="exact"/>
        <w:rPr>
          <w:rFonts w:ascii="Calibri" w:eastAsia="Calibri" w:hAnsi="Calibri" w:cs="Calibri"/>
          <w:color w:val="333333"/>
          <w:sz w:val="21"/>
          <w:szCs w:val="21"/>
        </w:rPr>
      </w:pPr>
      <w:r w:rsidRPr="078038CC">
        <w:rPr>
          <w:rFonts w:ascii="Calibri" w:eastAsia="Calibri" w:hAnsi="Calibri" w:cs="Calibri"/>
          <w:color w:val="333333"/>
          <w:sz w:val="21"/>
          <w:szCs w:val="21"/>
        </w:rPr>
        <w:t>The definition of student records (ACPE’s definition must be used; the center can add additional items</w:t>
      </w:r>
      <w:proofErr w:type="gramStart"/>
      <w:r w:rsidRPr="078038CC">
        <w:rPr>
          <w:rFonts w:ascii="Calibri" w:eastAsia="Calibri" w:hAnsi="Calibri" w:cs="Calibri"/>
          <w:color w:val="333333"/>
          <w:sz w:val="21"/>
          <w:szCs w:val="21"/>
        </w:rPr>
        <w:t>);</w:t>
      </w:r>
      <w:proofErr w:type="gramEnd"/>
      <w:r w:rsidRPr="078038CC">
        <w:rPr>
          <w:rFonts w:ascii="Calibri" w:eastAsia="Calibri" w:hAnsi="Calibri" w:cs="Calibri"/>
          <w:color w:val="333333"/>
          <w:sz w:val="21"/>
          <w:szCs w:val="21"/>
        </w:rPr>
        <w:t xml:space="preserve"> </w:t>
      </w:r>
    </w:p>
    <w:p w14:paraId="78292B34" w14:textId="24E95660" w:rsidR="00C714A6" w:rsidRDefault="13B6AE66" w:rsidP="078038CC">
      <w:pPr>
        <w:pStyle w:val="ListParagraph"/>
        <w:numPr>
          <w:ilvl w:val="0"/>
          <w:numId w:val="1"/>
        </w:numPr>
        <w:spacing w:after="0" w:line="240" w:lineRule="exact"/>
        <w:rPr>
          <w:rFonts w:ascii="Calibri" w:eastAsia="Calibri" w:hAnsi="Calibri" w:cs="Calibri"/>
          <w:color w:val="333333"/>
          <w:sz w:val="21"/>
          <w:szCs w:val="21"/>
        </w:rPr>
      </w:pPr>
      <w:r w:rsidRPr="078038CC">
        <w:rPr>
          <w:rFonts w:ascii="Calibri" w:eastAsia="Calibri" w:hAnsi="Calibri" w:cs="Calibri"/>
          <w:color w:val="333333"/>
          <w:sz w:val="21"/>
          <w:szCs w:val="21"/>
        </w:rPr>
        <w:t xml:space="preserve">Details of the program’s record’s management protocols. Must </w:t>
      </w:r>
      <w:proofErr w:type="gramStart"/>
      <w:r w:rsidRPr="078038CC">
        <w:rPr>
          <w:rFonts w:ascii="Calibri" w:eastAsia="Calibri" w:hAnsi="Calibri" w:cs="Calibri"/>
          <w:color w:val="333333"/>
          <w:sz w:val="21"/>
          <w:szCs w:val="21"/>
        </w:rPr>
        <w:t>include:</w:t>
      </w:r>
      <w:proofErr w:type="gramEnd"/>
      <w:r w:rsidRPr="078038CC">
        <w:rPr>
          <w:rFonts w:ascii="Calibri" w:eastAsia="Calibri" w:hAnsi="Calibri" w:cs="Calibri"/>
          <w:color w:val="333333"/>
          <w:sz w:val="21"/>
          <w:szCs w:val="21"/>
        </w:rPr>
        <w:t xml:space="preserve"> </w:t>
      </w:r>
      <w:r w:rsidRPr="078038CC">
        <w:rPr>
          <w:rFonts w:ascii="Calibri" w:eastAsia="Calibri" w:hAnsi="Calibri" w:cs="Calibri"/>
          <w:b/>
          <w:bCs/>
          <w:color w:val="333333"/>
          <w:sz w:val="21"/>
          <w:szCs w:val="21"/>
        </w:rPr>
        <w:t>A student has the right to object to record content. If not negotiable, the written objection will be kept with and released with the record.</w:t>
      </w:r>
      <w:r w:rsidRPr="078038CC">
        <w:rPr>
          <w:rFonts w:ascii="Calibri" w:eastAsia="Calibri" w:hAnsi="Calibri" w:cs="Calibri"/>
          <w:color w:val="333333"/>
          <w:sz w:val="21"/>
          <w:szCs w:val="21"/>
        </w:rPr>
        <w:t xml:space="preserve"> </w:t>
      </w:r>
    </w:p>
    <w:p w14:paraId="6E8FD3AF" w14:textId="7F104308" w:rsidR="00C714A6" w:rsidRDefault="13B6AE66" w:rsidP="078038CC">
      <w:pPr>
        <w:pStyle w:val="ListParagraph"/>
        <w:numPr>
          <w:ilvl w:val="0"/>
          <w:numId w:val="1"/>
        </w:numPr>
        <w:spacing w:after="0" w:line="240" w:lineRule="exact"/>
        <w:rPr>
          <w:rFonts w:ascii="Calibri" w:eastAsia="Calibri" w:hAnsi="Calibri" w:cs="Calibri"/>
          <w:color w:val="333333"/>
          <w:sz w:val="21"/>
          <w:szCs w:val="21"/>
        </w:rPr>
      </w:pPr>
      <w:r w:rsidRPr="078038CC">
        <w:rPr>
          <w:rFonts w:ascii="Calibri" w:eastAsia="Calibri" w:hAnsi="Calibri" w:cs="Calibri"/>
          <w:color w:val="333333"/>
          <w:sz w:val="21"/>
          <w:szCs w:val="21"/>
        </w:rPr>
        <w:t xml:space="preserve">Define within the program and indicate in the program’s record management policy, who constitutes an “education official” and what constitutes “a legitimate education interest.” Within the program, these people may have access to student records without student </w:t>
      </w:r>
      <w:proofErr w:type="gramStart"/>
      <w:r w:rsidRPr="078038CC">
        <w:rPr>
          <w:rFonts w:ascii="Calibri" w:eastAsia="Calibri" w:hAnsi="Calibri" w:cs="Calibri"/>
          <w:color w:val="333333"/>
          <w:sz w:val="21"/>
          <w:szCs w:val="21"/>
        </w:rPr>
        <w:t>consent;</w:t>
      </w:r>
      <w:proofErr w:type="gramEnd"/>
      <w:r w:rsidRPr="078038CC">
        <w:rPr>
          <w:rFonts w:ascii="Calibri" w:eastAsia="Calibri" w:hAnsi="Calibri" w:cs="Calibri"/>
          <w:color w:val="333333"/>
          <w:sz w:val="21"/>
          <w:szCs w:val="21"/>
        </w:rPr>
        <w:t xml:space="preserve"> </w:t>
      </w:r>
    </w:p>
    <w:p w14:paraId="580F8EC0" w14:textId="1BD50781" w:rsidR="00C714A6" w:rsidRDefault="13B6AE66" w:rsidP="078038CC">
      <w:pPr>
        <w:pStyle w:val="ListParagraph"/>
        <w:numPr>
          <w:ilvl w:val="0"/>
          <w:numId w:val="1"/>
        </w:numPr>
        <w:spacing w:after="0" w:line="240" w:lineRule="exact"/>
        <w:rPr>
          <w:rFonts w:ascii="Calibri" w:eastAsia="Calibri" w:hAnsi="Calibri" w:cs="Calibri"/>
          <w:color w:val="333333"/>
          <w:sz w:val="21"/>
          <w:szCs w:val="21"/>
        </w:rPr>
      </w:pPr>
      <w:r w:rsidRPr="078038CC">
        <w:rPr>
          <w:rFonts w:ascii="Calibri" w:eastAsia="Calibri" w:hAnsi="Calibri" w:cs="Calibri"/>
          <w:b/>
          <w:bCs/>
          <w:color w:val="333333"/>
          <w:sz w:val="21"/>
          <w:szCs w:val="21"/>
        </w:rPr>
        <w:t>Violations of Annual Notice protocols may be reported to the Chair of the Accreditation Commission at:</w:t>
      </w:r>
      <w:r w:rsidRPr="078038CC">
        <w:rPr>
          <w:rFonts w:ascii="Calibri" w:eastAsia="Calibri" w:hAnsi="Calibri" w:cs="Calibri"/>
          <w:color w:val="333333"/>
          <w:sz w:val="21"/>
          <w:szCs w:val="21"/>
        </w:rPr>
        <w:t xml:space="preserve"> </w:t>
      </w:r>
    </w:p>
    <w:p w14:paraId="66DB7266" w14:textId="2EAE531A" w:rsidR="00C714A6" w:rsidRDefault="13B6AE66" w:rsidP="078038CC">
      <w:pPr>
        <w:pStyle w:val="ListParagraph"/>
        <w:numPr>
          <w:ilvl w:val="0"/>
          <w:numId w:val="1"/>
        </w:numPr>
        <w:spacing w:after="0" w:line="240" w:lineRule="exact"/>
        <w:rPr>
          <w:rFonts w:ascii="Calibri" w:eastAsia="Calibri" w:hAnsi="Calibri" w:cs="Calibri"/>
          <w:color w:val="333333"/>
          <w:sz w:val="21"/>
          <w:szCs w:val="21"/>
        </w:rPr>
      </w:pPr>
      <w:r w:rsidRPr="078038CC">
        <w:rPr>
          <w:rFonts w:ascii="Calibri" w:eastAsia="Calibri" w:hAnsi="Calibri" w:cs="Calibri"/>
          <w:color w:val="333333"/>
          <w:sz w:val="21"/>
          <w:szCs w:val="21"/>
        </w:rPr>
        <w:t xml:space="preserve">ACPE, Inc. </w:t>
      </w:r>
      <w:r w:rsidR="00C714A6">
        <w:br/>
      </w:r>
      <w:r w:rsidRPr="078038CC">
        <w:rPr>
          <w:rFonts w:ascii="Calibri" w:eastAsia="Calibri" w:hAnsi="Calibri" w:cs="Calibri"/>
          <w:color w:val="333333"/>
          <w:sz w:val="21"/>
          <w:szCs w:val="21"/>
        </w:rPr>
        <w:t xml:space="preserve">1 Concourse Parkway </w:t>
      </w:r>
      <w:r w:rsidR="00C714A6">
        <w:br/>
      </w:r>
      <w:r w:rsidRPr="078038CC">
        <w:rPr>
          <w:rFonts w:ascii="Calibri" w:eastAsia="Calibri" w:hAnsi="Calibri" w:cs="Calibri"/>
          <w:color w:val="333333"/>
          <w:sz w:val="21"/>
          <w:szCs w:val="21"/>
        </w:rPr>
        <w:t xml:space="preserve">Suite 800 </w:t>
      </w:r>
      <w:r w:rsidR="00C714A6">
        <w:br/>
      </w:r>
      <w:r w:rsidRPr="078038CC">
        <w:rPr>
          <w:rFonts w:ascii="Calibri" w:eastAsia="Calibri" w:hAnsi="Calibri" w:cs="Calibri"/>
          <w:color w:val="333333"/>
          <w:sz w:val="21"/>
          <w:szCs w:val="21"/>
        </w:rPr>
        <w:t xml:space="preserve">Atlanta, GA 30328 </w:t>
      </w:r>
    </w:p>
    <w:p w14:paraId="6DF1927D" w14:textId="5076B9E7" w:rsidR="00C714A6" w:rsidRDefault="13B6AE66" w:rsidP="078038CC">
      <w:pPr>
        <w:pStyle w:val="ListParagraph"/>
        <w:numPr>
          <w:ilvl w:val="0"/>
          <w:numId w:val="1"/>
        </w:numPr>
        <w:spacing w:after="0" w:line="240" w:lineRule="exact"/>
        <w:rPr>
          <w:rFonts w:ascii="Calibri" w:eastAsia="Calibri" w:hAnsi="Calibri" w:cs="Calibri"/>
          <w:color w:val="000000" w:themeColor="text1"/>
        </w:rPr>
      </w:pPr>
      <w:r w:rsidRPr="078038CC">
        <w:rPr>
          <w:rFonts w:ascii="Calibri" w:eastAsia="Calibri" w:hAnsi="Calibri" w:cs="Calibri"/>
          <w:b/>
          <w:bCs/>
          <w:color w:val="333333"/>
          <w:sz w:val="21"/>
          <w:szCs w:val="21"/>
          <w:highlight w:val="yellow"/>
        </w:rPr>
        <w:t xml:space="preserve">Or via email: </w:t>
      </w:r>
      <w:hyperlink r:id="rId7">
        <w:r w:rsidRPr="078038CC">
          <w:rPr>
            <w:rStyle w:val="Hyperlink"/>
            <w:rFonts w:ascii="Calibri" w:eastAsia="Calibri" w:hAnsi="Calibri" w:cs="Calibri"/>
            <w:b/>
            <w:bCs/>
            <w:color w:val="000000" w:themeColor="text1"/>
            <w:sz w:val="21"/>
            <w:szCs w:val="21"/>
            <w:highlight w:val="yellow"/>
          </w:rPr>
          <w:t>accreditation@acpe.edu</w:t>
        </w:r>
      </w:hyperlink>
    </w:p>
    <w:p w14:paraId="2C078E63" w14:textId="2937388A" w:rsidR="00C714A6" w:rsidRDefault="00C714A6" w:rsidP="078038CC"/>
    <w:sectPr w:rsidR="00C714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A267" w14:textId="77777777" w:rsidR="001B441A" w:rsidRDefault="001B441A" w:rsidP="001B441A">
      <w:pPr>
        <w:spacing w:after="0" w:line="240" w:lineRule="auto"/>
      </w:pPr>
      <w:r>
        <w:separator/>
      </w:r>
    </w:p>
  </w:endnote>
  <w:endnote w:type="continuationSeparator" w:id="0">
    <w:p w14:paraId="1F0221F5" w14:textId="77777777" w:rsidR="001B441A" w:rsidRDefault="001B441A" w:rsidP="001B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394E" w14:textId="77777777" w:rsidR="001B441A" w:rsidRDefault="001B441A" w:rsidP="001B441A">
      <w:pPr>
        <w:spacing w:after="0" w:line="240" w:lineRule="auto"/>
      </w:pPr>
      <w:r>
        <w:separator/>
      </w:r>
    </w:p>
  </w:footnote>
  <w:footnote w:type="continuationSeparator" w:id="0">
    <w:p w14:paraId="1307DB06" w14:textId="77777777" w:rsidR="001B441A" w:rsidRDefault="001B441A" w:rsidP="001B4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54E1D"/>
    <w:multiLevelType w:val="hybridMultilevel"/>
    <w:tmpl w:val="4218F7A0"/>
    <w:lvl w:ilvl="0" w:tplc="63C4E960">
      <w:start w:val="1"/>
      <w:numFmt w:val="bullet"/>
      <w:lvlText w:val=""/>
      <w:lvlJc w:val="left"/>
      <w:pPr>
        <w:ind w:left="720" w:hanging="360"/>
      </w:pPr>
      <w:rPr>
        <w:rFonts w:ascii="Symbol" w:hAnsi="Symbol" w:hint="default"/>
      </w:rPr>
    </w:lvl>
    <w:lvl w:ilvl="1" w:tplc="B2001762">
      <w:start w:val="1"/>
      <w:numFmt w:val="bullet"/>
      <w:lvlText w:val="o"/>
      <w:lvlJc w:val="left"/>
      <w:pPr>
        <w:ind w:left="1440" w:hanging="360"/>
      </w:pPr>
      <w:rPr>
        <w:rFonts w:ascii="Courier New" w:hAnsi="Courier New" w:hint="default"/>
      </w:rPr>
    </w:lvl>
    <w:lvl w:ilvl="2" w:tplc="7958B6CC">
      <w:start w:val="1"/>
      <w:numFmt w:val="bullet"/>
      <w:lvlText w:val=""/>
      <w:lvlJc w:val="left"/>
      <w:pPr>
        <w:ind w:left="2160" w:hanging="360"/>
      </w:pPr>
      <w:rPr>
        <w:rFonts w:ascii="Wingdings" w:hAnsi="Wingdings" w:hint="default"/>
      </w:rPr>
    </w:lvl>
    <w:lvl w:ilvl="3" w:tplc="6944B270">
      <w:start w:val="1"/>
      <w:numFmt w:val="bullet"/>
      <w:lvlText w:val=""/>
      <w:lvlJc w:val="left"/>
      <w:pPr>
        <w:ind w:left="2880" w:hanging="360"/>
      </w:pPr>
      <w:rPr>
        <w:rFonts w:ascii="Symbol" w:hAnsi="Symbol" w:hint="default"/>
      </w:rPr>
    </w:lvl>
    <w:lvl w:ilvl="4" w:tplc="1F7E793A">
      <w:start w:val="1"/>
      <w:numFmt w:val="bullet"/>
      <w:lvlText w:val="o"/>
      <w:lvlJc w:val="left"/>
      <w:pPr>
        <w:ind w:left="3600" w:hanging="360"/>
      </w:pPr>
      <w:rPr>
        <w:rFonts w:ascii="Courier New" w:hAnsi="Courier New" w:hint="default"/>
      </w:rPr>
    </w:lvl>
    <w:lvl w:ilvl="5" w:tplc="3E88765E">
      <w:start w:val="1"/>
      <w:numFmt w:val="bullet"/>
      <w:lvlText w:val=""/>
      <w:lvlJc w:val="left"/>
      <w:pPr>
        <w:ind w:left="4320" w:hanging="360"/>
      </w:pPr>
      <w:rPr>
        <w:rFonts w:ascii="Wingdings" w:hAnsi="Wingdings" w:hint="default"/>
      </w:rPr>
    </w:lvl>
    <w:lvl w:ilvl="6" w:tplc="86E8F986">
      <w:start w:val="1"/>
      <w:numFmt w:val="bullet"/>
      <w:lvlText w:val=""/>
      <w:lvlJc w:val="left"/>
      <w:pPr>
        <w:ind w:left="5040" w:hanging="360"/>
      </w:pPr>
      <w:rPr>
        <w:rFonts w:ascii="Symbol" w:hAnsi="Symbol" w:hint="default"/>
      </w:rPr>
    </w:lvl>
    <w:lvl w:ilvl="7" w:tplc="14CAD3AC">
      <w:start w:val="1"/>
      <w:numFmt w:val="bullet"/>
      <w:lvlText w:val="o"/>
      <w:lvlJc w:val="left"/>
      <w:pPr>
        <w:ind w:left="5760" w:hanging="360"/>
      </w:pPr>
      <w:rPr>
        <w:rFonts w:ascii="Courier New" w:hAnsi="Courier New" w:hint="default"/>
      </w:rPr>
    </w:lvl>
    <w:lvl w:ilvl="8" w:tplc="EEA84888">
      <w:start w:val="1"/>
      <w:numFmt w:val="bullet"/>
      <w:lvlText w:val=""/>
      <w:lvlJc w:val="left"/>
      <w:pPr>
        <w:ind w:left="6480" w:hanging="360"/>
      </w:pPr>
      <w:rPr>
        <w:rFonts w:ascii="Wingdings" w:hAnsi="Wingdings" w:hint="default"/>
      </w:rPr>
    </w:lvl>
  </w:abstractNum>
  <w:num w:numId="1" w16cid:durableId="1026757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F231DA"/>
    <w:rsid w:val="001B441A"/>
    <w:rsid w:val="00C714A6"/>
    <w:rsid w:val="078038CC"/>
    <w:rsid w:val="13B6AE66"/>
    <w:rsid w:val="1D44684F"/>
    <w:rsid w:val="5DF231DA"/>
    <w:rsid w:val="6A747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231DA"/>
  <w15:chartTrackingRefBased/>
  <w15:docId w15:val="{9F98A5D8-1A4E-4149-BE09-9C8CB703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creditation@acp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Gronke, Cristina</dc:creator>
  <cp:keywords/>
  <dc:description/>
  <cp:lastModifiedBy>Gronke, Cristina</cp:lastModifiedBy>
  <cp:revision>2</cp:revision>
  <dcterms:created xsi:type="dcterms:W3CDTF">2023-10-24T13:19:00Z</dcterms:created>
  <dcterms:modified xsi:type="dcterms:W3CDTF">2023-10-24T13:19:00Z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93526d-19aa-4ea8-99e1-7716ee3206da_Enabled">
    <vt:lpwstr>true</vt:lpwstr>
  </property>
  <property fmtid="{D5CDD505-2E9C-101B-9397-08002B2CF9AE}" pid="3" name="MSIP_Label_9293526d-19aa-4ea8-99e1-7716ee3206da_SetDate">
    <vt:lpwstr>2023-10-24T13:17:19Z</vt:lpwstr>
  </property>
  <property fmtid="{D5CDD505-2E9C-101B-9397-08002B2CF9AE}" pid="4" name="MSIP_Label_9293526d-19aa-4ea8-99e1-7716ee3206da_Method">
    <vt:lpwstr>Standard</vt:lpwstr>
  </property>
  <property fmtid="{D5CDD505-2E9C-101B-9397-08002B2CF9AE}" pid="5" name="MSIP_Label_9293526d-19aa-4ea8-99e1-7716ee3206da_Name">
    <vt:lpwstr>AHS Internal.</vt:lpwstr>
  </property>
  <property fmtid="{D5CDD505-2E9C-101B-9397-08002B2CF9AE}" pid="6" name="MSIP_Label_9293526d-19aa-4ea8-99e1-7716ee3206da_SiteId">
    <vt:lpwstr>f6f442be-a6a0-4cbe-bc32-1f76a10f316b</vt:lpwstr>
  </property>
  <property fmtid="{D5CDD505-2E9C-101B-9397-08002B2CF9AE}" pid="7" name="MSIP_Label_9293526d-19aa-4ea8-99e1-7716ee3206da_ActionId">
    <vt:lpwstr>37b4c586-e877-4e7f-8977-83310259ba8c</vt:lpwstr>
  </property>
  <property fmtid="{D5CDD505-2E9C-101B-9397-08002B2CF9AE}" pid="8" name="MSIP_Label_9293526d-19aa-4ea8-99e1-7716ee3206da_ContentBits">
    <vt:lpwstr>0</vt:lpwstr>
  </property>
</Properties>
</file>